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9689FF0" w:rsidR="00F92268" w:rsidRPr="00FF66BF" w:rsidRDefault="0081416C" w:rsidP="00F246C7">
            <w:pPr>
              <w:pStyle w:val="RefTableHeader"/>
            </w:pPr>
            <w:r>
              <w:t>1675-A</w:t>
            </w:r>
          </w:p>
        </w:tc>
      </w:tr>
    </w:tbl>
    <w:p w14:paraId="74FBA5B4" w14:textId="77777777" w:rsidR="00051356" w:rsidRDefault="00051356" w:rsidP="00A672B3">
      <w:pPr>
        <w:pStyle w:val="BodyText"/>
        <w:rPr>
          <w:b/>
          <w:bCs/>
          <w:sz w:val="16"/>
          <w:szCs w:val="16"/>
        </w:rPr>
        <w:sectPr w:rsidR="00051356"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24961789" w:rsidR="004B15BB" w:rsidRDefault="0081416C" w:rsidP="007E5C16">
      <w:pPr>
        <w:pStyle w:val="Heading1"/>
      </w:pPr>
      <w:r w:rsidRPr="007027E1">
        <w:t>Specialty Guideline Management</w:t>
      </w:r>
      <w:r w:rsidR="008C54D9" w:rsidRPr="007027E1">
        <w:br/>
      </w:r>
      <w:r w:rsidRPr="007027E1">
        <w:t>Bavencio</w:t>
      </w:r>
    </w:p>
    <w:p w14:paraId="6A5329B6" w14:textId="4AA92E09" w:rsidR="00D766E9" w:rsidRPr="00BD1CC1" w:rsidRDefault="00D766E9" w:rsidP="00D766E9">
      <w:pPr>
        <w:pStyle w:val="Heading2"/>
      </w:pPr>
      <w:r w:rsidRPr="00BD1CC1">
        <w:t>Products Referenced by this Document</w:t>
      </w:r>
    </w:p>
    <w:p w14:paraId="13741153" w14:textId="19C08008" w:rsidR="00D766E9" w:rsidRDefault="00D766E9" w:rsidP="00D766E9">
      <w:pPr>
        <w:pStyle w:val="BodyText"/>
      </w:pPr>
      <w:r w:rsidRPr="00BD1CC1">
        <w:t xml:space="preserve">Drugs that are listed in the following table include both brand and generic and all dosage forms and strengths unless otherwise stated. </w:t>
      </w:r>
      <w:r w:rsidR="00DD04F7" w:rsidRPr="00DD04F7">
        <w:t>Over</w:t>
      </w:r>
      <w:r w:rsidR="00A47D8E">
        <w:t>-</w:t>
      </w:r>
      <w:r w:rsidR="00DD04F7" w:rsidRPr="00DD04F7">
        <w:t>the</w:t>
      </w:r>
      <w:r w:rsidR="00A47D8E">
        <w:t>-</w:t>
      </w:r>
      <w:r w:rsidR="00DD04F7" w:rsidRPr="00DD04F7">
        <w:t>counter (OTC)</w:t>
      </w:r>
      <w:r w:rsidRPr="00BD1CC1">
        <w:t xml:space="preserve"> products are not included unless otherwise stated.</w:t>
      </w:r>
    </w:p>
    <w:tbl>
      <w:tblPr>
        <w:tblStyle w:val="TableGrid"/>
        <w:tblW w:w="1068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40"/>
        <w:gridCol w:w="5340"/>
      </w:tblGrid>
      <w:tr w:rsidR="00C2371F" w:rsidRPr="00BD1CC1" w14:paraId="5A4D5122" w14:textId="77777777" w:rsidTr="00A47D8E">
        <w:trPr>
          <w:cantSplit/>
          <w:trHeight w:val="288"/>
          <w:tblHeader/>
        </w:trPr>
        <w:tc>
          <w:tcPr>
            <w:tcW w:w="5340" w:type="dxa"/>
            <w:vAlign w:val="center"/>
          </w:tcPr>
          <w:p w14:paraId="49C2D3D7" w14:textId="77777777" w:rsidR="00C2371F" w:rsidRPr="00BD1CC1" w:rsidRDefault="00C2371F" w:rsidP="005F786D">
            <w:pPr>
              <w:pStyle w:val="TableHeader"/>
            </w:pPr>
            <w:r w:rsidRPr="00BD1CC1">
              <w:t>Brand Name</w:t>
            </w:r>
          </w:p>
        </w:tc>
        <w:tc>
          <w:tcPr>
            <w:tcW w:w="5340" w:type="dxa"/>
            <w:vAlign w:val="center"/>
          </w:tcPr>
          <w:p w14:paraId="5245C96E" w14:textId="77777777" w:rsidR="00C2371F" w:rsidRPr="00BD1CC1" w:rsidRDefault="00C2371F" w:rsidP="005F786D">
            <w:pPr>
              <w:pStyle w:val="TableHeader"/>
            </w:pPr>
            <w:r w:rsidRPr="00BD1CC1">
              <w:t>Generic Name</w:t>
            </w:r>
          </w:p>
        </w:tc>
      </w:tr>
      <w:tr w:rsidR="00C2371F" w:rsidRPr="00BD1CC1" w14:paraId="5222BF72" w14:textId="77777777" w:rsidTr="00A47D8E">
        <w:trPr>
          <w:cantSplit/>
        </w:trPr>
        <w:tc>
          <w:tcPr>
            <w:tcW w:w="5340" w:type="dxa"/>
          </w:tcPr>
          <w:p w14:paraId="632E6CD3" w14:textId="44D52D65" w:rsidR="00C2371F" w:rsidRPr="00BD1CC1" w:rsidRDefault="000D61AC" w:rsidP="005F786D">
            <w:pPr>
              <w:pStyle w:val="TableDataUnpadded"/>
            </w:pPr>
            <w:r w:rsidRPr="000D61AC">
              <w:t>Bavencio</w:t>
            </w:r>
          </w:p>
        </w:tc>
        <w:tc>
          <w:tcPr>
            <w:tcW w:w="5340" w:type="dxa"/>
          </w:tcPr>
          <w:p w14:paraId="0711D4F0" w14:textId="323BD5C6" w:rsidR="00C2371F" w:rsidRPr="00BD1CC1" w:rsidRDefault="000D61AC" w:rsidP="005F786D">
            <w:pPr>
              <w:pStyle w:val="TableDataUnpadded"/>
            </w:pPr>
            <w:r w:rsidRPr="000D61AC">
              <w:t>avelumab</w:t>
            </w:r>
          </w:p>
        </w:tc>
      </w:tr>
    </w:tbl>
    <w:p w14:paraId="14CE6108" w14:textId="2E07ACEF" w:rsidR="00FC1AAD" w:rsidRPr="007027E1" w:rsidRDefault="00ED052F" w:rsidP="00AA2A94">
      <w:pPr>
        <w:pStyle w:val="Heading2"/>
        <w:tabs>
          <w:tab w:val="left" w:pos="9540"/>
        </w:tabs>
      </w:pPr>
      <w:r w:rsidRPr="007027E1">
        <w:t>Indications</w:t>
      </w:r>
    </w:p>
    <w:p w14:paraId="293F09CF" w14:textId="738F0F3B" w:rsidR="0081416C" w:rsidRPr="0081416C" w:rsidRDefault="0081416C" w:rsidP="0081416C">
      <w:pPr>
        <w:pStyle w:val="BodyText"/>
      </w:pPr>
      <w:r w:rsidRPr="0081416C">
        <w:t>The indications below including FDA-approved indications and compendial uses are considered a covered benefit provided that all the approval criteria are met and the member has no exclusions to the prescribed therapy.</w:t>
      </w:r>
    </w:p>
    <w:p w14:paraId="134B5687" w14:textId="677B3994" w:rsidR="00ED052F" w:rsidRDefault="00ED052F" w:rsidP="00ED052F">
      <w:pPr>
        <w:pStyle w:val="Heading3"/>
        <w:keepNext w:val="0"/>
      </w:pPr>
      <w:r w:rsidRPr="00BD1CC1">
        <w:t>FDA-approved Indications</w:t>
      </w:r>
    </w:p>
    <w:p w14:paraId="186D42D1" w14:textId="06904BFC" w:rsidR="0081416C" w:rsidRDefault="0081416C" w:rsidP="0081416C">
      <w:pPr>
        <w:pStyle w:val="Heading4"/>
      </w:pPr>
      <w:r>
        <w:t>Metastatic Merkel Cell Carcinoma (MCC)</w:t>
      </w:r>
    </w:p>
    <w:p w14:paraId="32A90F36" w14:textId="77777777" w:rsidR="0081416C" w:rsidRDefault="0081416C" w:rsidP="0081416C">
      <w:pPr>
        <w:pStyle w:val="BodyText"/>
      </w:pPr>
      <w:r>
        <w:t>Treatment of adults and pediatric patients 12 years and older with metastatic Merkel cell carcinoma.</w:t>
      </w:r>
    </w:p>
    <w:p w14:paraId="02AF3086" w14:textId="77821DE5" w:rsidR="0081416C" w:rsidRDefault="0081416C" w:rsidP="0081416C">
      <w:pPr>
        <w:pStyle w:val="Heading4"/>
      </w:pPr>
      <w:r>
        <w:t>Locally Advanced or Metastatic Urothelial Carcinoma (UC):</w:t>
      </w:r>
    </w:p>
    <w:p w14:paraId="55F666AD" w14:textId="0AC35561" w:rsidR="0081416C" w:rsidRDefault="0081416C" w:rsidP="0081416C">
      <w:pPr>
        <w:pStyle w:val="BodyText"/>
      </w:pPr>
      <w:r>
        <w:t>First-line maintenance treatment of urothelial carcinoma</w:t>
      </w:r>
    </w:p>
    <w:p w14:paraId="68CDCB65" w14:textId="77777777" w:rsidR="0081416C" w:rsidRDefault="0081416C" w:rsidP="0081416C">
      <w:pPr>
        <w:pStyle w:val="BodyText"/>
      </w:pPr>
      <w:r>
        <w:t>Maintenance treatment of patients with locally advanced or metastatic urothelial carcinoma that has not progressed with first-line platinum-containing chemotherapy.</w:t>
      </w:r>
    </w:p>
    <w:p w14:paraId="639A622E" w14:textId="55C1C88F" w:rsidR="0081416C" w:rsidRDefault="0081416C" w:rsidP="0081416C">
      <w:pPr>
        <w:pStyle w:val="Heading4"/>
      </w:pPr>
      <w:r>
        <w:t>Locally Advanced or Metastatic Urothelial Carcinoma (UC):</w:t>
      </w:r>
    </w:p>
    <w:p w14:paraId="4AAB309E" w14:textId="2B973A0A" w:rsidR="0081416C" w:rsidRDefault="0081416C" w:rsidP="0081416C">
      <w:pPr>
        <w:pStyle w:val="BodyText"/>
      </w:pPr>
      <w:r>
        <w:t>Previously-treated urothelial carcinoma</w:t>
      </w:r>
    </w:p>
    <w:p w14:paraId="247509E6" w14:textId="77777777" w:rsidR="0081416C" w:rsidRDefault="0081416C" w:rsidP="0081416C">
      <w:pPr>
        <w:pStyle w:val="BodyText"/>
      </w:pPr>
      <w:r>
        <w:lastRenderedPageBreak/>
        <w:t>Treatment of patients with locally advanced or metastatic urothelial carcinoma who have disease progression during or following platinum-containing chemotherapy or have disease progression within 12 months of neoadjuvant or adjuvant treatment with platinum-containing chemotherapy.</w:t>
      </w:r>
    </w:p>
    <w:p w14:paraId="3A32B38B" w14:textId="1F2FD82F" w:rsidR="0081416C" w:rsidRDefault="0081416C" w:rsidP="0081416C">
      <w:pPr>
        <w:pStyle w:val="Heading4"/>
      </w:pPr>
      <w:r>
        <w:t>Advanced Renal Cell Carcinoma (RCC)</w:t>
      </w:r>
    </w:p>
    <w:p w14:paraId="218CA630" w14:textId="461EBA48" w:rsidR="0081416C" w:rsidRPr="0081416C" w:rsidRDefault="0081416C" w:rsidP="0081416C">
      <w:pPr>
        <w:pStyle w:val="BodyText"/>
      </w:pPr>
      <w:r>
        <w:t>First-line treatment of patients with advanced renal cell carcinoma in combination with axitinib.</w:t>
      </w:r>
    </w:p>
    <w:p w14:paraId="0B5EC236" w14:textId="7D5CCAC3" w:rsidR="0044763A" w:rsidRDefault="009F2EF1" w:rsidP="0044763A">
      <w:pPr>
        <w:pStyle w:val="Heading3"/>
      </w:pPr>
      <w:r>
        <w:t xml:space="preserve">Compendial </w:t>
      </w:r>
      <w:r w:rsidR="00E25E72">
        <w:t>Uses</w:t>
      </w:r>
    </w:p>
    <w:p w14:paraId="7F2FA361" w14:textId="77777777" w:rsidR="0081416C" w:rsidRDefault="0081416C" w:rsidP="0081416C">
      <w:pPr>
        <w:pStyle w:val="ListParagraph"/>
      </w:pPr>
      <w:r>
        <w:t>Urothelial carcinoma</w:t>
      </w:r>
    </w:p>
    <w:p w14:paraId="619BC90E" w14:textId="77777777" w:rsidR="0081416C" w:rsidRDefault="0081416C" w:rsidP="0081416C">
      <w:pPr>
        <w:pStyle w:val="ListParagraph"/>
        <w:numPr>
          <w:ilvl w:val="1"/>
          <w:numId w:val="21"/>
        </w:numPr>
      </w:pPr>
      <w:r>
        <w:t>Bladder cancer</w:t>
      </w:r>
    </w:p>
    <w:p w14:paraId="307D1200" w14:textId="77777777" w:rsidR="0081416C" w:rsidRDefault="0081416C" w:rsidP="0081416C">
      <w:pPr>
        <w:pStyle w:val="ListParagraph"/>
        <w:numPr>
          <w:ilvl w:val="1"/>
          <w:numId w:val="21"/>
        </w:numPr>
      </w:pPr>
      <w:r>
        <w:t>Primary carcinoma of the urethra</w:t>
      </w:r>
    </w:p>
    <w:p w14:paraId="492863C4" w14:textId="77777777" w:rsidR="0081416C" w:rsidRDefault="0081416C" w:rsidP="0081416C">
      <w:pPr>
        <w:pStyle w:val="ListParagraph"/>
        <w:numPr>
          <w:ilvl w:val="1"/>
          <w:numId w:val="21"/>
        </w:numPr>
      </w:pPr>
      <w:r>
        <w:t>Upper genitourinary (GU) tract tumors</w:t>
      </w:r>
    </w:p>
    <w:p w14:paraId="2D8820E8" w14:textId="77777777" w:rsidR="0081416C" w:rsidRDefault="0081416C" w:rsidP="0081416C">
      <w:pPr>
        <w:pStyle w:val="ListParagraph"/>
        <w:numPr>
          <w:ilvl w:val="1"/>
          <w:numId w:val="21"/>
        </w:numPr>
      </w:pPr>
      <w:r>
        <w:t>Urothelial carcinoma of the prostate</w:t>
      </w:r>
    </w:p>
    <w:p w14:paraId="5A6341CA" w14:textId="77777777" w:rsidR="0081416C" w:rsidRDefault="0081416C" w:rsidP="0081416C">
      <w:pPr>
        <w:pStyle w:val="ListParagraph"/>
      </w:pPr>
      <w:r>
        <w:t>Merkel cell carcinoma</w:t>
      </w:r>
    </w:p>
    <w:p w14:paraId="2CDFD699" w14:textId="77777777" w:rsidR="0081416C" w:rsidRDefault="0081416C" w:rsidP="0081416C">
      <w:pPr>
        <w:pStyle w:val="ListParagraph"/>
      </w:pPr>
      <w:r>
        <w:t>Renal cell carcinoma</w:t>
      </w:r>
    </w:p>
    <w:p w14:paraId="22387ADC" w14:textId="77777777" w:rsidR="0081416C" w:rsidRDefault="0081416C" w:rsidP="0081416C">
      <w:pPr>
        <w:pStyle w:val="ListParagraph"/>
      </w:pPr>
      <w:r>
        <w:t>Gestational trophoblastic neoplasia</w:t>
      </w:r>
    </w:p>
    <w:p w14:paraId="22368C2F" w14:textId="6BCE0424" w:rsidR="0081416C" w:rsidRDefault="0081416C" w:rsidP="0081416C">
      <w:pPr>
        <w:pStyle w:val="ListParagraph"/>
      </w:pPr>
      <w:r>
        <w:t>Endometrial carcinoma</w:t>
      </w:r>
    </w:p>
    <w:p w14:paraId="1C6764C4" w14:textId="1E3B3FF9" w:rsidR="00AF71D1" w:rsidRPr="0081416C" w:rsidRDefault="00AF71D1" w:rsidP="0081416C">
      <w:pPr>
        <w:pStyle w:val="ListParagraph"/>
      </w:pPr>
      <w:r>
        <w:t>Thymic carcinoma</w:t>
      </w:r>
    </w:p>
    <w:p w14:paraId="0D5A9DD5" w14:textId="2E2D0512" w:rsidR="009A5649" w:rsidRPr="00BD1CC1" w:rsidRDefault="009A5649" w:rsidP="00DF65AF">
      <w:pPr>
        <w:pStyle w:val="BodyText"/>
        <w:spacing w:after="0"/>
        <w:rPr>
          <w:rFonts w:eastAsia="Arial"/>
        </w:rPr>
      </w:pPr>
      <w:r w:rsidRPr="00BD1CC1">
        <w:t xml:space="preserve">All other indications are considered experimental/investigational and </w:t>
      </w:r>
      <w:r w:rsidRPr="00BD1CC1">
        <w:rPr>
          <w:rFonts w:eastAsia="Arial"/>
        </w:rPr>
        <w:t>not medically necessary.</w:t>
      </w:r>
    </w:p>
    <w:p w14:paraId="36381B6D" w14:textId="10284135" w:rsidR="000D2496" w:rsidRPr="007027E1" w:rsidRDefault="000D2496" w:rsidP="000D2496">
      <w:pPr>
        <w:pStyle w:val="Heading2"/>
        <w:rPr>
          <w:rFonts w:eastAsia="Arial"/>
        </w:rPr>
      </w:pPr>
      <w:r w:rsidRPr="00BD1CC1">
        <w:t>Documentation</w:t>
      </w:r>
    </w:p>
    <w:p w14:paraId="7BD00B30" w14:textId="77777777" w:rsidR="0081416C" w:rsidRDefault="0081416C" w:rsidP="0081416C">
      <w:pPr>
        <w:pStyle w:val="BodyText"/>
      </w:pPr>
      <w:r>
        <w:t>Submission of the following information is necessary to initiate the prior authorization review:</w:t>
      </w:r>
    </w:p>
    <w:p w14:paraId="065B091E" w14:textId="1FD58D3B" w:rsidR="00006174" w:rsidRPr="00BD1CC1" w:rsidRDefault="0081416C" w:rsidP="00DF65AF">
      <w:pPr>
        <w:pStyle w:val="BodyText"/>
        <w:spacing w:after="0"/>
      </w:pPr>
      <w:r>
        <w:t>Documentation of laboratory report confirming microsatellite instability-high (MSI-H) or mismatch repair deficient (dMMR) tumor status, where applicable.</w:t>
      </w:r>
    </w:p>
    <w:p w14:paraId="65A12794" w14:textId="735A5489" w:rsidR="000D5101" w:rsidRDefault="004715CD" w:rsidP="00E050E1">
      <w:pPr>
        <w:pStyle w:val="Heading2"/>
      </w:pPr>
      <w:r w:rsidRPr="00BD1CC1">
        <w:t>Exclusions</w:t>
      </w:r>
    </w:p>
    <w:p w14:paraId="170ED573" w14:textId="29FDB5A1" w:rsidR="0081416C" w:rsidRPr="0081416C" w:rsidRDefault="0081416C" w:rsidP="00DF65AF">
      <w:pPr>
        <w:pStyle w:val="BodyText"/>
        <w:spacing w:after="0"/>
      </w:pPr>
      <w:r w:rsidRPr="0081416C">
        <w:t>Coverage will not be provided for members who have experienced disease progression while on PD-1 or PD-L1 inhibitor therapy.</w:t>
      </w:r>
    </w:p>
    <w:p w14:paraId="7B26BFE5" w14:textId="6B69F424" w:rsidR="0081416C" w:rsidRPr="00926D9F" w:rsidRDefault="00685107" w:rsidP="00DF65AF">
      <w:pPr>
        <w:pStyle w:val="Heading2"/>
        <w:keepNext w:val="0"/>
        <w:widowControl w:val="0"/>
      </w:pPr>
      <w:r w:rsidRPr="00926D9F">
        <w:t>Coverage Criteria</w:t>
      </w:r>
    </w:p>
    <w:p w14:paraId="0C3181C2" w14:textId="637118E5" w:rsidR="0081416C" w:rsidRPr="00926D9F" w:rsidRDefault="0081416C" w:rsidP="00DF65AF">
      <w:pPr>
        <w:pStyle w:val="Heading3"/>
        <w:keepNext w:val="0"/>
        <w:keepLines w:val="0"/>
        <w:widowControl w:val="0"/>
      </w:pPr>
      <w:r w:rsidRPr="00926D9F">
        <w:t>Merkel Cell Carcinoma</w:t>
      </w:r>
    </w:p>
    <w:p w14:paraId="624BB5C2" w14:textId="77777777" w:rsidR="0081416C" w:rsidRDefault="0081416C" w:rsidP="00DF65AF">
      <w:pPr>
        <w:pStyle w:val="BodyText"/>
        <w:widowControl w:val="0"/>
      </w:pPr>
      <w:r>
        <w:t>Authorization of 6 months may be granted as a single agent for the treatment of Merkel cell carcinoma in members with locally advanced, recurrent, or metastatic disease.</w:t>
      </w:r>
    </w:p>
    <w:p w14:paraId="519B7502" w14:textId="2BE56826" w:rsidR="0081416C" w:rsidRDefault="0081416C" w:rsidP="007027E1">
      <w:pPr>
        <w:pStyle w:val="Heading3"/>
      </w:pPr>
      <w:r>
        <w:lastRenderedPageBreak/>
        <w:t>Urothelial Carcinoma – Bladder Cancer</w:t>
      </w:r>
    </w:p>
    <w:p w14:paraId="2EE2CCD1" w14:textId="53E4AD42" w:rsidR="0081416C" w:rsidRDefault="0081416C" w:rsidP="0081416C">
      <w:pPr>
        <w:pStyle w:val="BodyText"/>
      </w:pPr>
      <w:r>
        <w:t>Authorization of 6 months may be granted for treatment of bladder cancer as a single agent when either of the following criteria is met:</w:t>
      </w:r>
    </w:p>
    <w:p w14:paraId="11AE94D2" w14:textId="7044E992" w:rsidR="007027E1" w:rsidRDefault="007027E1" w:rsidP="007027E1">
      <w:pPr>
        <w:pStyle w:val="ListParagraph"/>
      </w:pPr>
      <w:r>
        <w:t>Used as subsequent therapy.</w:t>
      </w:r>
    </w:p>
    <w:p w14:paraId="22BF6D81" w14:textId="1EC16E91" w:rsidR="007027E1" w:rsidRDefault="007027E1" w:rsidP="007027E1">
      <w:pPr>
        <w:pStyle w:val="ListParagraph"/>
      </w:pPr>
      <w:r>
        <w:t>Used as maintenance therapy if there is no progression on first-line platinum-containing chemotherapy.</w:t>
      </w:r>
    </w:p>
    <w:p w14:paraId="4C260141" w14:textId="45B5D74A" w:rsidR="007027E1" w:rsidRDefault="007027E1" w:rsidP="007027E1">
      <w:pPr>
        <w:pStyle w:val="Heading3"/>
      </w:pPr>
      <w:r>
        <w:t>Urothelial Carcinoma – Primary Carcinoma of the Urethra</w:t>
      </w:r>
    </w:p>
    <w:p w14:paraId="690AFE44" w14:textId="47411F18" w:rsidR="007027E1" w:rsidRDefault="007027E1" w:rsidP="007027E1">
      <w:pPr>
        <w:pStyle w:val="BodyText"/>
      </w:pPr>
      <w:r>
        <w:t>Authorization of 6 months may be granted for treatment of primary carcinoma of the urethra as a single agent when either of the following criteria is met:</w:t>
      </w:r>
    </w:p>
    <w:p w14:paraId="65C966DE" w14:textId="2852A8BF" w:rsidR="007027E1" w:rsidRPr="007027E1" w:rsidRDefault="007027E1" w:rsidP="007027E1">
      <w:pPr>
        <w:pStyle w:val="ListParagraph"/>
      </w:pPr>
      <w:r w:rsidRPr="007027E1">
        <w:t>Used as subsequent systemic therapy for recurrent, locally advanced, or metastatic disease</w:t>
      </w:r>
    </w:p>
    <w:p w14:paraId="7A7C4FA0" w14:textId="076AE3AC" w:rsidR="007027E1" w:rsidRPr="007027E1" w:rsidRDefault="007027E1" w:rsidP="007027E1">
      <w:pPr>
        <w:pStyle w:val="ListParagraph"/>
      </w:pPr>
      <w:r w:rsidRPr="007027E1">
        <w:t>Used as maintenance therapy if there is no progression on first-line platinum-containing chemotherapy.</w:t>
      </w:r>
    </w:p>
    <w:p w14:paraId="576EC2D0" w14:textId="67AC9188" w:rsidR="007027E1" w:rsidRDefault="007027E1" w:rsidP="007027E1">
      <w:pPr>
        <w:pStyle w:val="Heading3"/>
      </w:pPr>
      <w:r>
        <w:t>Urothelial Carcinoma – Upper Genitourinary (GU) Tract Tumors or Urothelial Carcinoma of the Prostate</w:t>
      </w:r>
    </w:p>
    <w:p w14:paraId="4F349102" w14:textId="77777777" w:rsidR="007027E1" w:rsidRDefault="007027E1" w:rsidP="007027E1">
      <w:pPr>
        <w:pStyle w:val="BodyText"/>
      </w:pPr>
      <w:r>
        <w:t xml:space="preserve">Authorization of 6 months may be granted for the treatment of upper genitourinary (GU) tract tumors or urothelial carcinoma of the prostate as a single agent when either of the following criteria is met: </w:t>
      </w:r>
    </w:p>
    <w:p w14:paraId="2EABE5B3" w14:textId="027F8F1F" w:rsidR="007027E1" w:rsidRDefault="007027E1" w:rsidP="007027E1">
      <w:pPr>
        <w:pStyle w:val="ListParagraph"/>
      </w:pPr>
      <w:r>
        <w:t xml:space="preserve">Used as subsequent therapy for locally advanced or metastatic disease. </w:t>
      </w:r>
    </w:p>
    <w:p w14:paraId="4119FB81" w14:textId="77777777" w:rsidR="00855D16" w:rsidRDefault="007027E1" w:rsidP="007027E1">
      <w:pPr>
        <w:pStyle w:val="ListParagraph"/>
      </w:pPr>
      <w:r>
        <w:t>Used as maintenance therapy if there is no progression on first-line platinum-containing chemotherapy.</w:t>
      </w:r>
    </w:p>
    <w:p w14:paraId="47787680" w14:textId="2227ECC6" w:rsidR="007027E1" w:rsidRDefault="007027E1" w:rsidP="007027E1">
      <w:pPr>
        <w:pStyle w:val="Heading3"/>
      </w:pPr>
      <w:r>
        <w:t>Renal Cell Carcinoma</w:t>
      </w:r>
    </w:p>
    <w:p w14:paraId="7366F65F" w14:textId="77777777" w:rsidR="007027E1" w:rsidRDefault="007027E1" w:rsidP="007027E1">
      <w:pPr>
        <w:pStyle w:val="BodyText"/>
      </w:pPr>
      <w:r>
        <w:t>Authorization of 6 months may be granted for treatment of advanced, relapsed, or stage IV renal cell carcinoma with clear cell histology when given in combination with axitinib as first-line treatment for the disease.</w:t>
      </w:r>
    </w:p>
    <w:p w14:paraId="267326C9" w14:textId="2CC9E9B4" w:rsidR="007027E1" w:rsidRDefault="007027E1" w:rsidP="007027E1">
      <w:pPr>
        <w:pStyle w:val="Heading3"/>
      </w:pPr>
      <w:r>
        <w:t>Gestational Trophoblastic Neoplasia</w:t>
      </w:r>
    </w:p>
    <w:p w14:paraId="2AA3BEB1" w14:textId="77777777" w:rsidR="007027E1" w:rsidRDefault="007027E1" w:rsidP="007027E1">
      <w:pPr>
        <w:pStyle w:val="BodyText"/>
      </w:pPr>
      <w:r>
        <w:t>Authorization of 6 months may be granted as a single agent for treatment of gestational trophoblastic neoplasia for multiagent chemotherapy-resistant disease when either of the following criteria is met:</w:t>
      </w:r>
    </w:p>
    <w:p w14:paraId="66D765B0" w14:textId="761D941D" w:rsidR="007027E1" w:rsidRPr="007027E1" w:rsidRDefault="007027E1" w:rsidP="007027E1">
      <w:pPr>
        <w:pStyle w:val="ListParagraph"/>
      </w:pPr>
      <w:r w:rsidRPr="007027E1">
        <w:t>Member has recurrent or progressive intermediate trophoblastic tumor (placental site trophoblastic tumor or epithelioid trophoblastic tumor).</w:t>
      </w:r>
    </w:p>
    <w:p w14:paraId="0C4D0721" w14:textId="77777777" w:rsidR="00784B7C" w:rsidRDefault="007027E1" w:rsidP="007027E1">
      <w:pPr>
        <w:pStyle w:val="ListParagraph"/>
      </w:pPr>
      <w:r w:rsidRPr="007027E1">
        <w:t>Member has high-risk disease.</w:t>
      </w:r>
    </w:p>
    <w:p w14:paraId="6C107929" w14:textId="2A017838" w:rsidR="007027E1" w:rsidRDefault="007027E1" w:rsidP="00784B7C">
      <w:pPr>
        <w:pStyle w:val="Heading3"/>
        <w:keepLines w:val="0"/>
        <w:widowControl w:val="0"/>
      </w:pPr>
      <w:r>
        <w:lastRenderedPageBreak/>
        <w:t>Endometrial Carcinoma</w:t>
      </w:r>
    </w:p>
    <w:p w14:paraId="33EB46AA" w14:textId="77777777" w:rsidR="00F272D0" w:rsidRDefault="007027E1" w:rsidP="00784B7C">
      <w:pPr>
        <w:pStyle w:val="BodyText"/>
        <w:keepNext/>
        <w:widowControl w:val="0"/>
      </w:pPr>
      <w:r>
        <w:t>Authorization of 6 months may be granted as a single agent for subsequent treatment of recurrent or metastatic microsatellite instability-high (MSI-H) or mismatch repair deficient (</w:t>
      </w:r>
      <w:proofErr w:type="spellStart"/>
      <w:r>
        <w:t>dMMR</w:t>
      </w:r>
      <w:proofErr w:type="spellEnd"/>
      <w:r>
        <w:t>) tumors.</w:t>
      </w:r>
    </w:p>
    <w:p w14:paraId="52CE458E" w14:textId="156DCEB1" w:rsidR="00F74F8A" w:rsidRDefault="00F74F8A" w:rsidP="00F74F8A">
      <w:pPr>
        <w:pStyle w:val="Heading4"/>
      </w:pPr>
      <w:r>
        <w:t>Thymic Carcinoma</w:t>
      </w:r>
    </w:p>
    <w:p w14:paraId="3680E140" w14:textId="2209B2E5" w:rsidR="009F2AD5" w:rsidRDefault="00F74F8A">
      <w:r w:rsidRPr="00F74F8A">
        <w:t xml:space="preserve">Authorization of </w:t>
      </w:r>
      <w:r w:rsidR="00E26442">
        <w:t>6</w:t>
      </w:r>
      <w:r w:rsidRPr="00F74F8A">
        <w:t xml:space="preserve"> months may be granted for treatment of thymic ca</w:t>
      </w:r>
      <w:r w:rsidR="00E21F17">
        <w:t>r</w:t>
      </w:r>
      <w:r w:rsidRPr="00F74F8A">
        <w:t>cinoma</w:t>
      </w:r>
      <w:r w:rsidR="009F2AD5">
        <w:t xml:space="preserve"> when both of the following criteria are met:</w:t>
      </w:r>
    </w:p>
    <w:p w14:paraId="2807D5D8" w14:textId="6F2CCB45" w:rsidR="009F2AD5" w:rsidRDefault="009F2AD5" w:rsidP="009F2AD5">
      <w:pPr>
        <w:pStyle w:val="ListParagraph"/>
        <w:numPr>
          <w:ilvl w:val="0"/>
          <w:numId w:val="36"/>
        </w:numPr>
      </w:pPr>
      <w:r>
        <w:t xml:space="preserve">The requested medication will be used </w:t>
      </w:r>
      <w:r w:rsidR="004B43E2">
        <w:t xml:space="preserve">as subsequent therapy or </w:t>
      </w:r>
      <w:r>
        <w:t xml:space="preserve">in members </w:t>
      </w:r>
      <w:r w:rsidRPr="009F2AD5">
        <w:t xml:space="preserve">who </w:t>
      </w:r>
      <w:r>
        <w:t>cannot</w:t>
      </w:r>
      <w:r w:rsidRPr="009F2AD5">
        <w:t xml:space="preserve"> tolerate first-line combination regimens</w:t>
      </w:r>
      <w:r w:rsidR="005E4BCD">
        <w:t>.</w:t>
      </w:r>
      <w:r w:rsidR="00F74F8A" w:rsidRPr="00F74F8A">
        <w:t xml:space="preserve"> </w:t>
      </w:r>
    </w:p>
    <w:p w14:paraId="7D1BCE9F" w14:textId="6935B9C9" w:rsidR="00F74F8A" w:rsidRPr="00F74F8A" w:rsidRDefault="009F2AD5" w:rsidP="00926D9F">
      <w:pPr>
        <w:pStyle w:val="ListParagraph"/>
        <w:numPr>
          <w:ilvl w:val="0"/>
          <w:numId w:val="36"/>
        </w:numPr>
      </w:pPr>
      <w:r>
        <w:t xml:space="preserve">The requested medication will be used </w:t>
      </w:r>
      <w:r w:rsidR="00F74F8A" w:rsidRPr="00F74F8A">
        <w:t>in combination with</w:t>
      </w:r>
      <w:r w:rsidR="005D3951">
        <w:t xml:space="preserve"> </w:t>
      </w:r>
      <w:proofErr w:type="spellStart"/>
      <w:r w:rsidR="005D3951">
        <w:t>axitinib</w:t>
      </w:r>
      <w:proofErr w:type="spellEnd"/>
      <w:r w:rsidR="005D3951">
        <w:t>.</w:t>
      </w:r>
    </w:p>
    <w:p w14:paraId="3A643EC3" w14:textId="70D9B650" w:rsidR="00A501AC" w:rsidRPr="007027E1" w:rsidRDefault="00A501AC" w:rsidP="00F272D0">
      <w:pPr>
        <w:pStyle w:val="Heading2"/>
        <w:keepNext w:val="0"/>
        <w:widowControl w:val="0"/>
      </w:pPr>
      <w:r w:rsidRPr="00BD1CC1">
        <w:t>Continuation of Therapy</w:t>
      </w:r>
    </w:p>
    <w:p w14:paraId="1DA17F4D" w14:textId="6B341678" w:rsidR="007027E1" w:rsidRDefault="007027E1" w:rsidP="00F272D0">
      <w:pPr>
        <w:pStyle w:val="BodyText"/>
        <w:widowControl w:val="0"/>
      </w:pPr>
      <w:r w:rsidRPr="007027E1">
        <w:t>Authorization of 6 months may be granted for continued treatment in members requesting reauthorization for an indication listed in the coverage criteria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484ED9BA" w:rsidR="00FF66BF" w:rsidRPr="008D1B34" w:rsidRDefault="00FF66BF" w:rsidP="007027E1">
      <w:pPr>
        <w:pStyle w:val="Heading2"/>
      </w:pPr>
      <w:r w:rsidRPr="008D1B34">
        <w:t>References</w:t>
      </w:r>
    </w:p>
    <w:p w14:paraId="75EABEE8" w14:textId="77777777" w:rsidR="007027E1" w:rsidRDefault="007027E1" w:rsidP="007027E1">
      <w:pPr>
        <w:pStyle w:val="ReferenceOrdered"/>
      </w:pPr>
      <w:r>
        <w:t>Bavencio [package insert]. Rockland, MA: EMD Serono, Inc.; March 2024.</w:t>
      </w:r>
    </w:p>
    <w:p w14:paraId="47E1A10C" w14:textId="5B11DB19" w:rsidR="00C44990" w:rsidRPr="00A47D8E" w:rsidRDefault="007027E1" w:rsidP="0010232C">
      <w:pPr>
        <w:pStyle w:val="ReferenceOrdered"/>
      </w:pPr>
      <w:r>
        <w:t>The NCCN Drugs &amp; Biologics Compendium® © 2024 National Comprehensive Cancer Network, Inc.</w:t>
      </w:r>
      <w:r w:rsidR="003860EC">
        <w:t xml:space="preserve"> </w:t>
      </w:r>
      <w:r>
        <w:t xml:space="preserve">Available at: http://www.nccn.org. Accessed </w:t>
      </w:r>
      <w:r w:rsidR="00D7465F">
        <w:t xml:space="preserve">November </w:t>
      </w:r>
      <w:r>
        <w:t>6, 2024</w:t>
      </w:r>
      <w:r w:rsidR="00FF66BF" w:rsidRPr="00BD1CC1">
        <w:t>.</w:t>
      </w:r>
    </w:p>
    <w:sectPr w:rsidR="00C44990" w:rsidRPr="00A47D8E" w:rsidSect="00AA1E6A">
      <w:headerReference w:type="first" r:id="rId18"/>
      <w:footerReference w:type="first" r:id="rId19"/>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A34EF" w14:textId="77777777" w:rsidR="007511ED" w:rsidRDefault="007511ED">
      <w:r>
        <w:separator/>
      </w:r>
    </w:p>
  </w:endnote>
  <w:endnote w:type="continuationSeparator" w:id="0">
    <w:p w14:paraId="3FBCE363" w14:textId="77777777" w:rsidR="007511ED" w:rsidRDefault="007511ED">
      <w:r>
        <w:continuationSeparator/>
      </w:r>
    </w:p>
  </w:endnote>
  <w:endnote w:type="continuationNotice" w:id="1">
    <w:p w14:paraId="6ACC0D82" w14:textId="77777777" w:rsidR="007511ED" w:rsidRDefault="00751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B0A9B" w14:textId="77777777" w:rsidR="000B4936" w:rsidRDefault="000B49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CC303FF"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1A0B34">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F74F8A" w:rsidRPr="00926D9F">
      <w:rPr>
        <w:rFonts w:cs="Arial"/>
        <w:noProof/>
        <w:sz w:val="16"/>
        <w:szCs w:val="16"/>
        <w:lang w:val="pt-BR"/>
      </w:rPr>
      <w:t>Bavencio</w:t>
    </w:r>
    <w:r w:rsidR="00F74F8A">
      <w:rPr>
        <w:rFonts w:cs="Arial"/>
        <w:noProof/>
        <w:snapToGrid w:val="0"/>
        <w:color w:val="000000"/>
        <w:sz w:val="16"/>
        <w:szCs w:val="16"/>
        <w:lang w:val="pt-BR"/>
      </w:rPr>
      <w:t xml:space="preserve"> SGM 1675-A</w:t>
    </w:r>
    <w:r w:rsidR="00F74F8A" w:rsidRPr="00926D9F">
      <w:rPr>
        <w:rFonts w:cs="Arial"/>
        <w:noProof/>
        <w:sz w:val="16"/>
        <w:szCs w:val="16"/>
        <w:lang w:val="pt-BR"/>
      </w:rPr>
      <w:t xml:space="preserve"> </w:t>
    </w:r>
    <w:r w:rsidR="000B4936">
      <w:rPr>
        <w:rFonts w:cs="Arial"/>
        <w:noProof/>
        <w:sz w:val="16"/>
        <w:szCs w:val="16"/>
        <w:lang w:val="pt-BR"/>
      </w:rPr>
      <w:t>P</w:t>
    </w:r>
    <w:r w:rsidR="00F74F8A" w:rsidRPr="00926D9F">
      <w:rPr>
        <w:rFonts w:cs="Arial"/>
        <w:noProof/>
        <w:sz w:val="16"/>
        <w:szCs w:val="16"/>
        <w:lang w:val="pt-BR"/>
      </w:rPr>
      <w:t>2024a</w:t>
    </w:r>
    <w:r w:rsidR="00F74F8A">
      <w:rPr>
        <w:rFonts w:cs="Arial"/>
        <w:noProof/>
        <w:snapToGrid w:val="0"/>
        <w:color w:val="000000"/>
        <w:sz w:val="16"/>
        <w:szCs w:val="16"/>
        <w:lang w:val="pt-BR"/>
      </w:rPr>
      <w:t>_R.docx</w:t>
    </w:r>
    <w:r w:rsidRPr="00EC47B6">
      <w:rPr>
        <w:rFonts w:cs="Arial"/>
        <w:noProof/>
        <w:sz w:val="16"/>
        <w:szCs w:val="16"/>
      </w:rPr>
      <w:fldChar w:fldCharType="end"/>
    </w:r>
    <w:r w:rsidRPr="001A0B34">
      <w:rPr>
        <w:rFonts w:cs="Arial"/>
        <w:snapToGrid w:val="0"/>
        <w:color w:val="000000"/>
        <w:sz w:val="16"/>
        <w:lang w:val="pt-BR"/>
      </w:rPr>
      <w:tab/>
      <w:t>© 202</w:t>
    </w:r>
    <w:r w:rsidR="008B6DBE" w:rsidRPr="001A0B34">
      <w:rPr>
        <w:rFonts w:cs="Arial"/>
        <w:snapToGrid w:val="0"/>
        <w:color w:val="000000"/>
        <w:sz w:val="16"/>
        <w:lang w:val="pt-BR"/>
      </w:rPr>
      <w:t>4</w:t>
    </w:r>
    <w:r w:rsidRPr="001A0B34">
      <w:rPr>
        <w:rFonts w:cs="Arial"/>
        <w:snapToGrid w:val="0"/>
        <w:color w:val="000000"/>
        <w:sz w:val="16"/>
        <w:lang w:val="pt-BR"/>
      </w:rPr>
      <w:t xml:space="preserve"> CVS Caremark. </w:t>
    </w:r>
    <w:r w:rsidRPr="00EC47B6">
      <w:rPr>
        <w:rFonts w:cs="Arial"/>
        <w:snapToGrid w:val="0"/>
        <w:color w:val="000000"/>
        <w:sz w:val="16"/>
      </w:rPr>
      <w:t>All rights reserved.</w:t>
    </w:r>
  </w:p>
  <w:p w14:paraId="61CF5924" w14:textId="75AD4C8D"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3527244" w:rsidR="00F75C81" w:rsidRPr="00A47D8E" w:rsidRDefault="00C36B72" w:rsidP="00A47D8E">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1D6727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1A0B34">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F74F8A" w:rsidRPr="00926D9F">
      <w:rPr>
        <w:rFonts w:cs="Arial"/>
        <w:noProof/>
        <w:sz w:val="16"/>
        <w:szCs w:val="16"/>
        <w:lang w:val="pt-BR"/>
      </w:rPr>
      <w:t>Bavencio</w:t>
    </w:r>
    <w:r w:rsidR="00F74F8A">
      <w:rPr>
        <w:rFonts w:cs="Arial"/>
        <w:noProof/>
        <w:snapToGrid w:val="0"/>
        <w:color w:val="000000"/>
        <w:sz w:val="16"/>
        <w:szCs w:val="16"/>
        <w:lang w:val="pt-BR"/>
      </w:rPr>
      <w:t xml:space="preserve"> SGM 1675-A</w:t>
    </w:r>
    <w:r w:rsidR="00F74F8A" w:rsidRPr="00926D9F">
      <w:rPr>
        <w:rFonts w:cs="Arial"/>
        <w:noProof/>
        <w:sz w:val="16"/>
        <w:szCs w:val="16"/>
        <w:lang w:val="pt-BR"/>
      </w:rPr>
      <w:t xml:space="preserve"> </w:t>
    </w:r>
    <w:r w:rsidR="000B4936">
      <w:rPr>
        <w:rFonts w:cs="Arial"/>
        <w:noProof/>
        <w:sz w:val="16"/>
        <w:szCs w:val="16"/>
        <w:lang w:val="pt-BR"/>
      </w:rPr>
      <w:t>P</w:t>
    </w:r>
    <w:r w:rsidR="00F74F8A" w:rsidRPr="00926D9F">
      <w:rPr>
        <w:rFonts w:cs="Arial"/>
        <w:noProof/>
        <w:sz w:val="16"/>
        <w:szCs w:val="16"/>
        <w:lang w:val="pt-BR"/>
      </w:rPr>
      <w:t>2024a</w:t>
    </w:r>
    <w:r w:rsidR="00F74F8A">
      <w:rPr>
        <w:rFonts w:cs="Arial"/>
        <w:noProof/>
        <w:snapToGrid w:val="0"/>
        <w:color w:val="000000"/>
        <w:sz w:val="16"/>
        <w:szCs w:val="16"/>
        <w:lang w:val="pt-BR"/>
      </w:rPr>
      <w:t>_R.docx</w:t>
    </w:r>
    <w:r w:rsidRPr="00EC47B6">
      <w:rPr>
        <w:rFonts w:cs="Arial"/>
        <w:noProof/>
        <w:sz w:val="16"/>
        <w:szCs w:val="16"/>
      </w:rPr>
      <w:fldChar w:fldCharType="end"/>
    </w:r>
    <w:r w:rsidRPr="001A0B34">
      <w:rPr>
        <w:rFonts w:cs="Arial"/>
        <w:snapToGrid w:val="0"/>
        <w:color w:val="000000"/>
        <w:sz w:val="16"/>
        <w:lang w:val="pt-BR"/>
      </w:rPr>
      <w:tab/>
      <w:t>© 202</w:t>
    </w:r>
    <w:r w:rsidR="00D74279" w:rsidRPr="001A0B34">
      <w:rPr>
        <w:rFonts w:cs="Arial"/>
        <w:snapToGrid w:val="0"/>
        <w:color w:val="000000"/>
        <w:sz w:val="16"/>
        <w:lang w:val="pt-BR"/>
      </w:rPr>
      <w:t>4</w:t>
    </w:r>
    <w:r w:rsidRPr="001A0B34">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592A819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A5AD1D7" w:rsidR="00ED04EC" w:rsidRPr="00F50D98" w:rsidRDefault="00F50D98" w:rsidP="00043C8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86469" w14:textId="3F667C49" w:rsidR="00D274F1" w:rsidRPr="00D274F1" w:rsidRDefault="00D274F1" w:rsidP="00D274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BB202" w14:textId="77777777" w:rsidR="007511ED" w:rsidRDefault="007511ED">
      <w:r>
        <w:separator/>
      </w:r>
    </w:p>
  </w:footnote>
  <w:footnote w:type="continuationSeparator" w:id="0">
    <w:p w14:paraId="63397272" w14:textId="77777777" w:rsidR="007511ED" w:rsidRDefault="007511ED">
      <w:r>
        <w:continuationSeparator/>
      </w:r>
    </w:p>
  </w:footnote>
  <w:footnote w:type="continuationNotice" w:id="1">
    <w:p w14:paraId="46C31821" w14:textId="77777777" w:rsidR="007511ED" w:rsidRDefault="007511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592E5" w14:textId="77777777" w:rsidR="000B4936" w:rsidRDefault="000B4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218EC" w14:paraId="16262E63" w14:textId="77777777">
      <w:trPr>
        <w:trHeight w:val="144"/>
        <w:jc w:val="right"/>
      </w:trPr>
      <w:tc>
        <w:tcPr>
          <w:tcW w:w="1854" w:type="dxa"/>
          <w:hideMark/>
        </w:tcPr>
        <w:p w14:paraId="18F550B7" w14:textId="77777777" w:rsidR="00ED04EC" w:rsidRPr="00E218EC" w:rsidRDefault="00ED04EC" w:rsidP="00ED04EC">
          <w:pPr>
            <w:pStyle w:val="Header"/>
            <w:rPr>
              <w:rFonts w:cs="Arial"/>
              <w:sz w:val="16"/>
              <w:szCs w:val="16"/>
            </w:rPr>
          </w:pPr>
          <w:r w:rsidRPr="00E218EC">
            <w:rPr>
              <w:rFonts w:cs="Arial"/>
              <w:sz w:val="16"/>
              <w:szCs w:val="16"/>
            </w:rPr>
            <w:t>Reference number(s)</w:t>
          </w:r>
        </w:p>
      </w:tc>
    </w:tr>
    <w:tr w:rsidR="00ED04EC" w:rsidRPr="00E218EC" w14:paraId="703C6588" w14:textId="77777777">
      <w:trPr>
        <w:trHeight w:val="378"/>
        <w:jc w:val="right"/>
      </w:trPr>
      <w:tc>
        <w:tcPr>
          <w:tcW w:w="1854" w:type="dxa"/>
          <w:hideMark/>
        </w:tcPr>
        <w:p w14:paraId="51CE3E64" w14:textId="50411C0F" w:rsidR="00ED04EC" w:rsidRPr="00E218EC" w:rsidRDefault="0081416C" w:rsidP="00ED04EC">
          <w:pPr>
            <w:pStyle w:val="Header"/>
            <w:rPr>
              <w:rFonts w:cs="Arial"/>
              <w:sz w:val="16"/>
              <w:szCs w:val="16"/>
            </w:rPr>
          </w:pPr>
          <w:r w:rsidRPr="00E218EC">
            <w:rPr>
              <w:rFonts w:cs="Arial"/>
              <w:sz w:val="16"/>
              <w:szCs w:val="16"/>
            </w:rPr>
            <w:t>1675-A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86139" w14:textId="77777777" w:rsidR="000B4936" w:rsidRDefault="000B49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666C6" w:rsidRPr="00E218EC" w14:paraId="319BBB97" w14:textId="77777777" w:rsidTr="005F786D">
      <w:trPr>
        <w:trHeight w:val="144"/>
        <w:jc w:val="right"/>
      </w:trPr>
      <w:tc>
        <w:tcPr>
          <w:tcW w:w="1854" w:type="dxa"/>
          <w:hideMark/>
        </w:tcPr>
        <w:p w14:paraId="706D712D" w14:textId="77777777" w:rsidR="00E666C6" w:rsidRPr="00E218EC" w:rsidRDefault="00E666C6" w:rsidP="00E666C6">
          <w:pPr>
            <w:pStyle w:val="Header"/>
            <w:rPr>
              <w:rFonts w:cs="Arial"/>
              <w:sz w:val="16"/>
              <w:szCs w:val="16"/>
            </w:rPr>
          </w:pPr>
          <w:r w:rsidRPr="00E218EC">
            <w:rPr>
              <w:rFonts w:cs="Arial"/>
              <w:sz w:val="16"/>
              <w:szCs w:val="16"/>
            </w:rPr>
            <w:t>Reference number(s)</w:t>
          </w:r>
        </w:p>
      </w:tc>
    </w:tr>
    <w:tr w:rsidR="00E666C6" w:rsidRPr="00E218EC" w14:paraId="2D111C9D" w14:textId="77777777" w:rsidTr="005F786D">
      <w:trPr>
        <w:trHeight w:val="378"/>
        <w:jc w:val="right"/>
      </w:trPr>
      <w:tc>
        <w:tcPr>
          <w:tcW w:w="1854" w:type="dxa"/>
          <w:hideMark/>
        </w:tcPr>
        <w:p w14:paraId="3E786D97" w14:textId="77777777" w:rsidR="00E666C6" w:rsidRPr="00E218EC" w:rsidRDefault="00E666C6" w:rsidP="00E666C6">
          <w:pPr>
            <w:pStyle w:val="Header"/>
            <w:rPr>
              <w:rFonts w:cs="Arial"/>
              <w:sz w:val="16"/>
              <w:szCs w:val="16"/>
            </w:rPr>
          </w:pPr>
          <w:r w:rsidRPr="00E218EC">
            <w:rPr>
              <w:rFonts w:cs="Arial"/>
              <w:sz w:val="16"/>
              <w:szCs w:val="16"/>
            </w:rPr>
            <w:t>1675-A</w:t>
          </w:r>
        </w:p>
      </w:tc>
    </w:tr>
  </w:tbl>
  <w:p w14:paraId="0784102E" w14:textId="77777777" w:rsidR="00E666C6" w:rsidRPr="00E666C6" w:rsidRDefault="00E666C6">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080A41"/>
    <w:multiLevelType w:val="hybridMultilevel"/>
    <w:tmpl w:val="31005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A817512"/>
    <w:multiLevelType w:val="hybridMultilevel"/>
    <w:tmpl w:val="E402D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B7261F"/>
    <w:multiLevelType w:val="hybridMultilevel"/>
    <w:tmpl w:val="447CB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494C70"/>
    <w:multiLevelType w:val="hybridMultilevel"/>
    <w:tmpl w:val="5CE657C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9215D1"/>
    <w:multiLevelType w:val="hybridMultilevel"/>
    <w:tmpl w:val="4E0A5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D2BCA"/>
    <w:multiLevelType w:val="hybridMultilevel"/>
    <w:tmpl w:val="275EA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4530E3"/>
    <w:multiLevelType w:val="hybridMultilevel"/>
    <w:tmpl w:val="41BE80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974B2F"/>
    <w:multiLevelType w:val="hybridMultilevel"/>
    <w:tmpl w:val="42C85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9"/>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9"/>
  </w:num>
  <w:num w:numId="17" w16cid:durableId="2128498676">
    <w:abstractNumId w:val="33"/>
  </w:num>
  <w:num w:numId="18" w16cid:durableId="299724409">
    <w:abstractNumId w:val="26"/>
  </w:num>
  <w:num w:numId="19" w16cid:durableId="214585573">
    <w:abstractNumId w:val="15"/>
  </w:num>
  <w:num w:numId="20" w16cid:durableId="1289816170">
    <w:abstractNumId w:val="16"/>
  </w:num>
  <w:num w:numId="21" w16cid:durableId="1066490929">
    <w:abstractNumId w:val="34"/>
  </w:num>
  <w:num w:numId="22" w16cid:durableId="1472481103">
    <w:abstractNumId w:val="28"/>
  </w:num>
  <w:num w:numId="23" w16cid:durableId="1997420403">
    <w:abstractNumId w:val="30"/>
  </w:num>
  <w:num w:numId="24" w16cid:durableId="33312838">
    <w:abstractNumId w:val="27"/>
  </w:num>
  <w:num w:numId="25" w16cid:durableId="507404939">
    <w:abstractNumId w:val="18"/>
  </w:num>
  <w:num w:numId="26" w16cid:durableId="1950313333">
    <w:abstractNumId w:val="21"/>
  </w:num>
  <w:num w:numId="27" w16cid:durableId="1866016584">
    <w:abstractNumId w:val="20"/>
  </w:num>
  <w:num w:numId="28" w16cid:durableId="2066447506">
    <w:abstractNumId w:val="24"/>
  </w:num>
  <w:num w:numId="29" w16cid:durableId="1176267775">
    <w:abstractNumId w:val="31"/>
  </w:num>
  <w:num w:numId="30" w16cid:durableId="513501542">
    <w:abstractNumId w:val="17"/>
  </w:num>
  <w:num w:numId="31" w16cid:durableId="539440162">
    <w:abstractNumId w:val="34"/>
  </w:num>
  <w:num w:numId="32" w16cid:durableId="1186603800">
    <w:abstractNumId w:val="10"/>
  </w:num>
  <w:num w:numId="33" w16cid:durableId="269438427">
    <w:abstractNumId w:val="14"/>
  </w:num>
  <w:num w:numId="34" w16cid:durableId="1974404928">
    <w:abstractNumId w:val="25"/>
  </w:num>
  <w:num w:numId="35" w16cid:durableId="2092120810">
    <w:abstractNumId w:val="32"/>
  </w:num>
  <w:num w:numId="36" w16cid:durableId="150000577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3C8F"/>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9C4"/>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4936"/>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61AC"/>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232C"/>
    <w:rsid w:val="00103111"/>
    <w:rsid w:val="0010327C"/>
    <w:rsid w:val="00103E4B"/>
    <w:rsid w:val="00103E71"/>
    <w:rsid w:val="00104849"/>
    <w:rsid w:val="0010527A"/>
    <w:rsid w:val="001054B4"/>
    <w:rsid w:val="00105956"/>
    <w:rsid w:val="00107394"/>
    <w:rsid w:val="001074E7"/>
    <w:rsid w:val="001075C1"/>
    <w:rsid w:val="00107947"/>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CE8"/>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B34"/>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31D5"/>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A9B"/>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5F9E"/>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4710"/>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0EC"/>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11B4"/>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C7B72"/>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CB4"/>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15"/>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804"/>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3E2"/>
    <w:rsid w:val="004B4E86"/>
    <w:rsid w:val="004B4FE3"/>
    <w:rsid w:val="004B504B"/>
    <w:rsid w:val="004B50BB"/>
    <w:rsid w:val="004B5614"/>
    <w:rsid w:val="004B5877"/>
    <w:rsid w:val="004B5B65"/>
    <w:rsid w:val="004B642B"/>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7AC8"/>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3E8"/>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A78"/>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856"/>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951"/>
    <w:rsid w:val="005D3FE0"/>
    <w:rsid w:val="005D47B9"/>
    <w:rsid w:val="005D5FBB"/>
    <w:rsid w:val="005D7081"/>
    <w:rsid w:val="005D72EF"/>
    <w:rsid w:val="005D7947"/>
    <w:rsid w:val="005D7EA2"/>
    <w:rsid w:val="005E0BD2"/>
    <w:rsid w:val="005E1266"/>
    <w:rsid w:val="005E3C25"/>
    <w:rsid w:val="005E4938"/>
    <w:rsid w:val="005E4BCD"/>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63B"/>
    <w:rsid w:val="00602E3A"/>
    <w:rsid w:val="00604463"/>
    <w:rsid w:val="00604555"/>
    <w:rsid w:val="00604A0F"/>
    <w:rsid w:val="00604DB2"/>
    <w:rsid w:val="00606DBB"/>
    <w:rsid w:val="006077A7"/>
    <w:rsid w:val="00607959"/>
    <w:rsid w:val="0060798E"/>
    <w:rsid w:val="00610F93"/>
    <w:rsid w:val="00610FBE"/>
    <w:rsid w:val="00613278"/>
    <w:rsid w:val="006137F5"/>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0FE6"/>
    <w:rsid w:val="006D1263"/>
    <w:rsid w:val="006D171C"/>
    <w:rsid w:val="006D19A8"/>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7E1"/>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695"/>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1ED"/>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84E"/>
    <w:rsid w:val="00772C13"/>
    <w:rsid w:val="00773060"/>
    <w:rsid w:val="00773513"/>
    <w:rsid w:val="0077365E"/>
    <w:rsid w:val="007741BD"/>
    <w:rsid w:val="0077473F"/>
    <w:rsid w:val="00775C9E"/>
    <w:rsid w:val="007775AA"/>
    <w:rsid w:val="00777708"/>
    <w:rsid w:val="007778B0"/>
    <w:rsid w:val="00777BDA"/>
    <w:rsid w:val="00781D02"/>
    <w:rsid w:val="007828E3"/>
    <w:rsid w:val="007829DA"/>
    <w:rsid w:val="00782BB0"/>
    <w:rsid w:val="007831D6"/>
    <w:rsid w:val="00784B7C"/>
    <w:rsid w:val="00785111"/>
    <w:rsid w:val="00785A2E"/>
    <w:rsid w:val="007860BA"/>
    <w:rsid w:val="00786EFB"/>
    <w:rsid w:val="007876BF"/>
    <w:rsid w:val="00787FE9"/>
    <w:rsid w:val="007908C6"/>
    <w:rsid w:val="007912A7"/>
    <w:rsid w:val="00791482"/>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8B2"/>
    <w:rsid w:val="007C1B6C"/>
    <w:rsid w:val="007C29E1"/>
    <w:rsid w:val="007C2CEC"/>
    <w:rsid w:val="007C3391"/>
    <w:rsid w:val="007C4D57"/>
    <w:rsid w:val="007C4F4F"/>
    <w:rsid w:val="007C5719"/>
    <w:rsid w:val="007C5812"/>
    <w:rsid w:val="007C70BD"/>
    <w:rsid w:val="007C74F4"/>
    <w:rsid w:val="007D03FE"/>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16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5D16"/>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6D9F"/>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AD5"/>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2F06"/>
    <w:rsid w:val="00A43152"/>
    <w:rsid w:val="00A44E8E"/>
    <w:rsid w:val="00A45E92"/>
    <w:rsid w:val="00A46FB9"/>
    <w:rsid w:val="00A47199"/>
    <w:rsid w:val="00A47D8E"/>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1D1"/>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453"/>
    <w:rsid w:val="00B323A4"/>
    <w:rsid w:val="00B33563"/>
    <w:rsid w:val="00B3404B"/>
    <w:rsid w:val="00B34094"/>
    <w:rsid w:val="00B343F3"/>
    <w:rsid w:val="00B34FE4"/>
    <w:rsid w:val="00B36321"/>
    <w:rsid w:val="00B372F2"/>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0DAC"/>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03B"/>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371F"/>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5FA3"/>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382A"/>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28A0"/>
    <w:rsid w:val="00CD3C27"/>
    <w:rsid w:val="00CD4084"/>
    <w:rsid w:val="00CD4217"/>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274F1"/>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465F"/>
    <w:rsid w:val="00D75C30"/>
    <w:rsid w:val="00D76337"/>
    <w:rsid w:val="00D76468"/>
    <w:rsid w:val="00D766E9"/>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04F7"/>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5AF"/>
    <w:rsid w:val="00DF6C92"/>
    <w:rsid w:val="00DF7FFE"/>
    <w:rsid w:val="00E00661"/>
    <w:rsid w:val="00E01E80"/>
    <w:rsid w:val="00E02122"/>
    <w:rsid w:val="00E0384C"/>
    <w:rsid w:val="00E04264"/>
    <w:rsid w:val="00E046C3"/>
    <w:rsid w:val="00E049AD"/>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301"/>
    <w:rsid w:val="00E20E34"/>
    <w:rsid w:val="00E212B1"/>
    <w:rsid w:val="00E21380"/>
    <w:rsid w:val="00E218EC"/>
    <w:rsid w:val="00E21E0B"/>
    <w:rsid w:val="00E21F17"/>
    <w:rsid w:val="00E23842"/>
    <w:rsid w:val="00E24B03"/>
    <w:rsid w:val="00E25668"/>
    <w:rsid w:val="00E25E72"/>
    <w:rsid w:val="00E25EA1"/>
    <w:rsid w:val="00E25FBE"/>
    <w:rsid w:val="00E26442"/>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6C6"/>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5172"/>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272D0"/>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493"/>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4F8A"/>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825"/>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9e5e3151-c0b7-45db-a3fc-693419218584"/>
    <ds:schemaRef ds:uri="140c881a-ad29-41df-bf4a-49828f8e0a8a"/>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19893984-8BA6-4A97-B190-9C9DF9D92DC2}"/>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745</Words>
  <Characters>4699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Bavencio 1675-A SGM 2024</vt:lpstr>
    </vt:vector>
  </TitlesOfParts>
  <Company>PCS Health Systems</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Bavencio 1675-A SGM 2024</dc:title>
  <dc:subject/>
  <dc:creator>CVS Caremark</dc:creator>
  <cp:keywords/>
  <cp:lastModifiedBy>Huerta, Linda M</cp:lastModifiedBy>
  <cp:revision>3</cp:revision>
  <cp:lastPrinted>2018-01-09T11:01:00Z</cp:lastPrinted>
  <dcterms:created xsi:type="dcterms:W3CDTF">2024-11-15T17:54:00Z</dcterms:created>
  <dcterms:modified xsi:type="dcterms:W3CDTF">2024-11-18T18:06:00Z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12864700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